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text" w:horzAnchor="margin" w:tblpXSpec="center" w:tblpY="-519"/>
        <w:tblOverlap w:val="never"/>
        <w:tblW w:w="15725" w:type="dxa"/>
        <w:tblLook w:val="04A0" w:firstRow="1" w:lastRow="0" w:firstColumn="1" w:lastColumn="0" w:noHBand="0" w:noVBand="1"/>
      </w:tblPr>
      <w:tblGrid>
        <w:gridCol w:w="4668"/>
        <w:gridCol w:w="567"/>
        <w:gridCol w:w="3402"/>
        <w:gridCol w:w="1701"/>
        <w:gridCol w:w="1701"/>
        <w:gridCol w:w="3686"/>
      </w:tblGrid>
      <w:tr w:rsidR="00F30ABF" w:rsidRPr="00F30ABF" w:rsidTr="00F30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DE235C"/>
            </w:tcBorders>
            <w:shd w:val="clear" w:color="auto" w:fill="47A0D9"/>
            <w:vAlign w:val="center"/>
          </w:tcPr>
          <w:p w:rsidR="00F30ABF" w:rsidRPr="00F30ABF" w:rsidRDefault="00F30ABF" w:rsidP="00F30ABF">
            <w:pPr>
              <w:spacing w:before="4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30ABF">
              <w:rPr>
                <w:rFonts w:asciiTheme="minorHAnsi" w:hAnsiTheme="minorHAnsi" w:cstheme="minorHAnsi"/>
                <w:b w:val="0"/>
                <w:color w:val="FFFFFF" w:themeColor="background1"/>
                <w:sz w:val="24"/>
                <w:szCs w:val="24"/>
              </w:rPr>
              <w:t>Communication and Language</w:t>
            </w:r>
          </w:p>
        </w:tc>
        <w:tc>
          <w:tcPr>
            <w:tcW w:w="5103" w:type="dxa"/>
            <w:gridSpan w:val="2"/>
            <w:tcBorders>
              <w:top w:val="single" w:sz="8" w:space="0" w:color="DE235C"/>
              <w:left w:val="single" w:sz="8" w:space="0" w:color="DE235C"/>
              <w:bottom w:val="single" w:sz="8" w:space="0" w:color="DE235C"/>
              <w:right w:val="single" w:sz="8" w:space="0" w:color="DE235C"/>
            </w:tcBorders>
            <w:shd w:val="clear" w:color="auto" w:fill="DE235C"/>
            <w:vAlign w:val="center"/>
          </w:tcPr>
          <w:p w:rsidR="00F30ABF" w:rsidRPr="00F30ABF" w:rsidRDefault="00F30ABF" w:rsidP="00F30ABF">
            <w:pPr>
              <w:spacing w:before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0ABF">
              <w:rPr>
                <w:rFonts w:asciiTheme="minorHAnsi" w:hAnsiTheme="minorHAnsi" w:cstheme="minorHAnsi"/>
                <w:b w:val="0"/>
                <w:color w:val="FFFFFF" w:themeColor="background1"/>
                <w:sz w:val="24"/>
                <w:szCs w:val="24"/>
              </w:rPr>
              <w:t>Personal, Social and Emotional Development</w:t>
            </w:r>
          </w:p>
        </w:tc>
        <w:tc>
          <w:tcPr>
            <w:tcW w:w="5387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F4CB4C"/>
            <w:vAlign w:val="center"/>
          </w:tcPr>
          <w:p w:rsidR="00F30ABF" w:rsidRPr="00F30ABF" w:rsidRDefault="00F30ABF" w:rsidP="00F30A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0ABF">
              <w:rPr>
                <w:rFonts w:asciiTheme="minorHAnsi" w:hAnsiTheme="minorHAnsi" w:cstheme="minorHAnsi"/>
                <w:sz w:val="24"/>
                <w:szCs w:val="24"/>
              </w:rPr>
              <w:t>Physical Development</w:t>
            </w:r>
          </w:p>
        </w:tc>
      </w:tr>
      <w:tr w:rsidR="00F30ABF" w:rsidRPr="00F30ABF" w:rsidTr="00F30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47A0D9"/>
            </w:tcBorders>
            <w:shd w:val="clear" w:color="auto" w:fill="D2EDFD"/>
            <w:tcMar>
              <w:top w:w="113" w:type="dxa"/>
              <w:bottom w:w="57" w:type="dxa"/>
            </w:tcMar>
          </w:tcPr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T</w:t>
            </w:r>
            <w:r w:rsidR="001A4FDA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his half term will about</w:t>
            </w:r>
            <w:r w:rsidR="007B4AB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different celebrations. </w:t>
            </w:r>
            <w:r w:rsidR="00E53C5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We will talk about sounds we might hear around bonfire night</w:t>
            </w:r>
            <w:r w:rsidRPr="00F30ABF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.</w:t>
            </w:r>
            <w:r w:rsidR="00E53C51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We will play lots of listening games with musical instruments and other objects.</w:t>
            </w:r>
            <w:r w:rsidRPr="00F30ABF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Some other activities will include:</w:t>
            </w:r>
          </w:p>
          <w:p w:rsidR="00F30ABF" w:rsidRPr="00F30ABF" w:rsidRDefault="00CD3D6D" w:rsidP="00F30ABF">
            <w:pPr>
              <w:pStyle w:val="Bullets-Twinkl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Listening to stories</w:t>
            </w:r>
            <w:r w:rsidR="00E10923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and talking about the</w:t>
            </w:r>
            <w:r w:rsidR="0040079A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different c</w:t>
            </w:r>
            <w:r w:rsidR="00E10923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haracter</w:t>
            </w:r>
            <w:r w:rsidR="0040079A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s</w:t>
            </w:r>
            <w:r w:rsidR="00E10923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and how they might feel</w:t>
            </w:r>
            <w:r w:rsidR="00F30ABF" w:rsidRPr="00F30ABF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.</w:t>
            </w:r>
          </w:p>
          <w:p w:rsidR="00F30ABF" w:rsidRPr="00F30ABF" w:rsidRDefault="00E10923" w:rsidP="00F30ABF">
            <w:pPr>
              <w:pStyle w:val="Bullets-Twinkl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Learn to ask simple question</w:t>
            </w:r>
            <w:r w:rsidR="001A4FDA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 during show and share</w:t>
            </w:r>
            <w:r w:rsidR="00F30ABF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8" w:space="0" w:color="DE235C"/>
              <w:left w:val="single" w:sz="8" w:space="0" w:color="47A0D9"/>
              <w:bottom w:val="single" w:sz="8" w:space="0" w:color="DE235C"/>
              <w:right w:val="single" w:sz="8" w:space="0" w:color="DE235C"/>
            </w:tcBorders>
            <w:shd w:val="clear" w:color="auto" w:fill="F9D8E9"/>
            <w:tcMar>
              <w:top w:w="113" w:type="dxa"/>
              <w:bottom w:w="57" w:type="dxa"/>
            </w:tcMar>
          </w:tcPr>
          <w:p w:rsidR="00F30ABF" w:rsidRPr="00F30ABF" w:rsidRDefault="007B4AB1" w:rsidP="00F30ABF">
            <w:pPr>
              <w:pStyle w:val="Bullets-Twink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will continue to build on the </w:t>
            </w:r>
            <w:r w:rsidR="00DF6B1C">
              <w:rPr>
                <w:rFonts w:asciiTheme="minorHAnsi" w:hAnsiTheme="minorHAnsi" w:cstheme="minorHAnsi"/>
                <w:sz w:val="20"/>
                <w:szCs w:val="20"/>
              </w:rPr>
              <w:t>relationships we have formed and start to form new ones with other children. Children will become more independent in self-care activities such as washing their hands and putting on their coats.</w:t>
            </w:r>
            <w:r w:rsidR="00F30ABF" w:rsidRPr="00F30ABF">
              <w:rPr>
                <w:rFonts w:asciiTheme="minorHAnsi" w:hAnsiTheme="minorHAnsi" w:cstheme="minorHAnsi"/>
                <w:sz w:val="20"/>
                <w:szCs w:val="20"/>
              </w:rPr>
              <w:t xml:space="preserve"> Other activities will include:</w:t>
            </w:r>
          </w:p>
          <w:p w:rsidR="00F30ABF" w:rsidRPr="00F30ABF" w:rsidRDefault="00E10923" w:rsidP="00F30ABF">
            <w:pPr>
              <w:pStyle w:val="Bullets-Twinkl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Trying some new foods during snack time</w:t>
            </w:r>
            <w:r w:rsidR="00F30ABF" w:rsidRPr="00F30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0ABF" w:rsidRPr="00F30ABF" w:rsidRDefault="00F30ABF" w:rsidP="00CD3D6D">
            <w:pPr>
              <w:pStyle w:val="Bullets-Twinkl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87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EDEDED" w:themeFill="accent3" w:themeFillTint="33"/>
            <w:tcMar>
              <w:top w:w="113" w:type="dxa"/>
              <w:bottom w:w="57" w:type="dxa"/>
            </w:tcMar>
          </w:tcPr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sz w:val="20"/>
                <w:szCs w:val="20"/>
              </w:rPr>
              <w:t>We will spend time exploring the outside area to encourage children to practice and refine gross motors skills. Other activities will include:</w:t>
            </w:r>
          </w:p>
          <w:p w:rsidR="00DF6B1C" w:rsidRDefault="004920BD" w:rsidP="00DF6B1C">
            <w:pPr>
              <w:pStyle w:val="Bullets-Twinkl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Using streamers to create firework movement</w:t>
            </w:r>
            <w:r w:rsidR="00F30ABF" w:rsidRPr="00F30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0ABF" w:rsidRDefault="00DF6B1C" w:rsidP="00DF6B1C">
            <w:pPr>
              <w:pStyle w:val="Bullets-Twinkl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Dance to different music and explore different ways of moving</w:t>
            </w:r>
            <w:r w:rsidR="00F30ABF" w:rsidRPr="00DF6B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F6B1C" w:rsidRPr="00DF6B1C" w:rsidRDefault="00DF6B1C" w:rsidP="00DF6B1C">
            <w:pPr>
              <w:pStyle w:val="Bullets-Twinkl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Begin to use scissors to make our Christmas list using catalogues.</w:t>
            </w:r>
          </w:p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ind w:lef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ABF" w:rsidRPr="00F30ABF" w:rsidTr="00F30ABF">
        <w:trPr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5" w:type="dxa"/>
            <w:gridSpan w:val="6"/>
            <w:tcBorders>
              <w:top w:val="single" w:sz="4" w:space="0" w:color="47A0D9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F30ABF" w:rsidRPr="00EA577F" w:rsidRDefault="00E10923" w:rsidP="00F30ABF">
            <w:pPr>
              <w:spacing w:before="260" w:after="280" w:line="240" w:lineRule="auto"/>
              <w:rPr>
                <w:rFonts w:asciiTheme="minorHAnsi" w:hAnsiTheme="minorHAnsi" w:cstheme="minorHAnsi"/>
                <w:color w:val="EE73AA"/>
                <w:sz w:val="48"/>
                <w:szCs w:val="48"/>
              </w:rPr>
            </w:pPr>
            <w:r w:rsidRPr="00E10923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DE80C20" wp14:editId="0A2600A5">
                  <wp:simplePos x="0" y="0"/>
                  <wp:positionH relativeFrom="margin">
                    <wp:posOffset>6329946</wp:posOffset>
                  </wp:positionH>
                  <wp:positionV relativeFrom="paragraph">
                    <wp:posOffset>46665</wp:posOffset>
                  </wp:positionV>
                  <wp:extent cx="1584251" cy="1188188"/>
                  <wp:effectExtent l="0" t="0" r="0" b="0"/>
                  <wp:wrapNone/>
                  <wp:docPr id="4" name="Picture 4" descr="Diwali—Festival of 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wali—Festival of L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251" cy="1188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0923">
              <w:rPr>
                <w:rFonts w:asciiTheme="minorHAnsi" w:hAnsiTheme="minorHAnsi" w:cstheme="minorHAnsi"/>
                <w:noProof/>
                <w:color w:val="EE73AA"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3CAC6DF5" wp14:editId="3E032AD1">
                  <wp:simplePos x="0" y="0"/>
                  <wp:positionH relativeFrom="margin">
                    <wp:posOffset>151824</wp:posOffset>
                  </wp:positionH>
                  <wp:positionV relativeFrom="paragraph">
                    <wp:posOffset>147630</wp:posOffset>
                  </wp:positionV>
                  <wp:extent cx="2147777" cy="1025629"/>
                  <wp:effectExtent l="0" t="0" r="5080" b="3175"/>
                  <wp:wrapNone/>
                  <wp:docPr id="2" name="Picture 2" descr="50+ Best Christmas Quotes 2021 - Funny &amp;amp; Inspirational Holiday Say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0+ Best Christmas Quotes 2021 - Funny &amp;amp; Inspirational Holiday Say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777" cy="102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0923">
              <w:rPr>
                <w:rFonts w:asciiTheme="minorHAnsi" w:hAnsiTheme="minorHAnsi" w:cstheme="minorHAnsi"/>
                <w:noProof/>
                <w:color w:val="EE73AA"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1A8E7376" wp14:editId="65F0400B">
                  <wp:simplePos x="0" y="0"/>
                  <wp:positionH relativeFrom="column">
                    <wp:posOffset>2832026</wp:posOffset>
                  </wp:positionH>
                  <wp:positionV relativeFrom="paragraph">
                    <wp:posOffset>280788</wp:posOffset>
                  </wp:positionV>
                  <wp:extent cx="1010093" cy="563356"/>
                  <wp:effectExtent l="0" t="0" r="0" b="8255"/>
                  <wp:wrapNone/>
                  <wp:docPr id="1" name="Picture 1" descr="Bonfire Night: What is the story behind it and how will 2020 be different?  - CBBC News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nfire Night: What is the story behind it and how will 2020 be different?  - CBBC News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093" cy="56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0ABF" w:rsidRPr="00EA577F">
              <w:rPr>
                <w:rFonts w:asciiTheme="minorHAnsi" w:hAnsiTheme="minorHAnsi" w:cstheme="minorHAnsi"/>
                <w:color w:val="EE73AA"/>
                <w:sz w:val="48"/>
                <w:szCs w:val="48"/>
              </w:rPr>
              <w:t>Robins</w:t>
            </w:r>
          </w:p>
          <w:p w:rsidR="00F30ABF" w:rsidRPr="00F30ABF" w:rsidRDefault="007B4AB1" w:rsidP="00F30ABF">
            <w:pPr>
              <w:spacing w:before="260" w:after="280" w:line="240" w:lineRule="auto"/>
              <w:rPr>
                <w:rFonts w:asciiTheme="minorHAnsi" w:hAnsiTheme="minorHAnsi" w:cstheme="minorHAnsi"/>
                <w:color w:val="EE73AA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EE73AA"/>
                <w:sz w:val="48"/>
                <w:szCs w:val="48"/>
              </w:rPr>
              <w:t>Celebrations</w:t>
            </w:r>
          </w:p>
        </w:tc>
      </w:tr>
      <w:tr w:rsidR="00F30ABF" w:rsidRPr="00F30ABF" w:rsidTr="0049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95C238"/>
            <w:vAlign w:val="center"/>
          </w:tcPr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spacing w:before="40" w:after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30ABF">
              <w:rPr>
                <w:rFonts w:asciiTheme="minorHAnsi" w:hAnsiTheme="minorHAnsi" w:cstheme="minorHAnsi"/>
                <w:b w:val="0"/>
                <w:color w:val="FFFFFF" w:themeColor="background1"/>
                <w:sz w:val="24"/>
                <w:szCs w:val="24"/>
              </w:rPr>
              <w:t>Literacy</w:t>
            </w:r>
          </w:p>
        </w:tc>
        <w:tc>
          <w:tcPr>
            <w:tcW w:w="3969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07D1B"/>
            <w:vAlign w:val="center"/>
          </w:tcPr>
          <w:p w:rsidR="00F30ABF" w:rsidRPr="00F30ABF" w:rsidRDefault="00F30ABF" w:rsidP="00F30ABF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0ABF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Mathematics</w:t>
            </w:r>
          </w:p>
        </w:tc>
        <w:tc>
          <w:tcPr>
            <w:tcW w:w="3402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5B2A86"/>
            <w:vAlign w:val="center"/>
          </w:tcPr>
          <w:p w:rsidR="00F30ABF" w:rsidRPr="00F30ABF" w:rsidRDefault="00F30ABF" w:rsidP="00F30ABF">
            <w:pPr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0ABF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Understanding the World</w:t>
            </w:r>
            <w:r w:rsidRPr="00F30ABF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00AE97"/>
            <w:vAlign w:val="center"/>
          </w:tcPr>
          <w:p w:rsidR="00F30ABF" w:rsidRPr="00F30ABF" w:rsidRDefault="00F30ABF" w:rsidP="00F30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0ABF">
              <w:rPr>
                <w:rFonts w:asciiTheme="minorHAnsi" w:hAnsiTheme="minorHAnsi" w:cstheme="minorHAnsi"/>
                <w:sz w:val="24"/>
                <w:szCs w:val="24"/>
              </w:rPr>
              <w:t>Expressive Arts and Design</w:t>
            </w:r>
          </w:p>
        </w:tc>
      </w:tr>
      <w:tr w:rsidR="00F30ABF" w:rsidRPr="00F30ABF" w:rsidTr="004920BD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FFF2CC" w:themeFill="accent4" w:themeFillTint="33"/>
            <w:tcMar>
              <w:top w:w="113" w:type="dxa"/>
              <w:bottom w:w="57" w:type="dxa"/>
              <w:right w:w="108" w:type="dxa"/>
            </w:tcMar>
          </w:tcPr>
          <w:p w:rsidR="007B4AB1" w:rsidRDefault="00F30ABF" w:rsidP="00F30ABF">
            <w:pPr>
              <w:pStyle w:val="Bullets-Twinkl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Each morning children look for their name card to self-register, this will help children to recognise their name. </w:t>
            </w:r>
            <w:r w:rsidR="007B4AB1">
              <w:rPr>
                <w:rFonts w:asciiTheme="minorHAnsi" w:hAnsiTheme="minorHAnsi" w:cstheme="minorHAnsi"/>
                <w:b w:val="0"/>
                <w:sz w:val="20"/>
                <w:szCs w:val="20"/>
              </w:rPr>
              <w:t>Children will also be encouraged to have a go at writing their name either by tracing or copying the letters in their name.</w:t>
            </w:r>
          </w:p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b w:val="0"/>
                <w:sz w:val="20"/>
                <w:szCs w:val="20"/>
              </w:rPr>
              <w:t>Other activities will include:</w:t>
            </w:r>
          </w:p>
          <w:p w:rsidR="00F30ABF" w:rsidRPr="00F30ABF" w:rsidRDefault="007B4AB1" w:rsidP="00F30ABF">
            <w:pPr>
              <w:pStyle w:val="Bullets-Twinkl"/>
              <w:numPr>
                <w:ilvl w:val="0"/>
                <w:numId w:val="6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Writing our Christmas lists.</w:t>
            </w:r>
          </w:p>
          <w:p w:rsidR="00F30ABF" w:rsidRPr="00F30ABF" w:rsidRDefault="007B4AB1" w:rsidP="00F30ABF">
            <w:pPr>
              <w:pStyle w:val="Bullets-Twinkl"/>
              <w:numPr>
                <w:ilvl w:val="0"/>
                <w:numId w:val="6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Creating our own Mehndi patterns when learning about Diwali.</w:t>
            </w:r>
          </w:p>
          <w:p w:rsidR="00F30ABF" w:rsidRPr="00F30ABF" w:rsidRDefault="00F30ABF" w:rsidP="00F30ABF">
            <w:pPr>
              <w:pStyle w:val="Bullets-Twinkl"/>
              <w:numPr>
                <w:ilvl w:val="0"/>
                <w:numId w:val="6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We will </w:t>
            </w:r>
            <w:r w:rsidR="007B4AB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continue to </w:t>
            </w:r>
            <w:r w:rsidRPr="00F30ABF">
              <w:rPr>
                <w:rFonts w:asciiTheme="minorHAnsi" w:hAnsiTheme="minorHAnsi" w:cstheme="minorHAnsi"/>
                <w:b w:val="0"/>
                <w:sz w:val="20"/>
                <w:szCs w:val="20"/>
              </w:rPr>
              <w:t>do daily phonics lessons to build children’s awareness</w:t>
            </w:r>
            <w:r w:rsidR="001A4FD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of</w:t>
            </w:r>
            <w:r w:rsidRPr="00F30ABF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letters and the sounds they make.</w:t>
            </w:r>
          </w:p>
        </w:tc>
        <w:tc>
          <w:tcPr>
            <w:tcW w:w="3969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BE4D5" w:themeFill="accent2" w:themeFillTint="33"/>
            <w:tcMar>
              <w:top w:w="113" w:type="dxa"/>
              <w:bottom w:w="57" w:type="dxa"/>
              <w:right w:w="108" w:type="dxa"/>
            </w:tcMar>
          </w:tcPr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ind w:lef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sz w:val="20"/>
                <w:szCs w:val="20"/>
              </w:rPr>
              <w:t xml:space="preserve">Each morning we will sing our days of </w:t>
            </w:r>
            <w:r w:rsidR="001A4FDA">
              <w:rPr>
                <w:rFonts w:asciiTheme="minorHAnsi" w:hAnsiTheme="minorHAnsi" w:cstheme="minorHAnsi"/>
                <w:sz w:val="20"/>
                <w:szCs w:val="20"/>
              </w:rPr>
              <w:t>the week song to help children</w:t>
            </w:r>
            <w:r w:rsidRPr="00F30ABF">
              <w:rPr>
                <w:rFonts w:asciiTheme="minorHAnsi" w:hAnsiTheme="minorHAnsi" w:cstheme="minorHAnsi"/>
                <w:sz w:val="20"/>
                <w:szCs w:val="20"/>
              </w:rPr>
              <w:t xml:space="preserve"> understand the concept of time. We will also use ‘Ten Town’ to become masters of the numbers 0-10. Other activities will include:</w:t>
            </w:r>
          </w:p>
          <w:p w:rsidR="00F30ABF" w:rsidRPr="00F30ABF" w:rsidRDefault="007B4AB1" w:rsidP="00F30ABF">
            <w:pPr>
              <w:pStyle w:val="Bullets-Twinkl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Extending a colour patterns</w:t>
            </w:r>
            <w:r w:rsidR="00F30ABF" w:rsidRPr="00F30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0ABF" w:rsidRDefault="007B4AB1" w:rsidP="007B4AB1">
            <w:pPr>
              <w:pStyle w:val="Bullets-Twinkl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Finding one more/less than the numbers we have learnt about in ten town time.</w:t>
            </w:r>
          </w:p>
          <w:p w:rsidR="007B4AB1" w:rsidRPr="00F30ABF" w:rsidRDefault="007B4AB1" w:rsidP="007B4AB1">
            <w:pPr>
              <w:pStyle w:val="Bullets-Twinkl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Using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numicon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fi</w:t>
            </w:r>
            <w:r w:rsidR="001A4FD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 different ways of making numbers.</w:t>
            </w:r>
          </w:p>
        </w:tc>
        <w:tc>
          <w:tcPr>
            <w:tcW w:w="3402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E2EFD9" w:themeFill="accent6" w:themeFillTint="33"/>
            <w:tcMar>
              <w:top w:w="113" w:type="dxa"/>
              <w:bottom w:w="57" w:type="dxa"/>
              <w:right w:w="108" w:type="dxa"/>
            </w:tcMar>
          </w:tcPr>
          <w:p w:rsidR="007B4AB1" w:rsidRDefault="00F30ABF" w:rsidP="00F30ABF">
            <w:pPr>
              <w:pStyle w:val="Bullets-Twinkl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sz w:val="20"/>
                <w:szCs w:val="20"/>
              </w:rPr>
              <w:t xml:space="preserve">   We will spend time talking about </w:t>
            </w:r>
            <w:r w:rsidR="007B4AB1">
              <w:rPr>
                <w:rFonts w:asciiTheme="minorHAnsi" w:hAnsiTheme="minorHAnsi" w:cstheme="minorHAnsi"/>
                <w:sz w:val="20"/>
                <w:szCs w:val="20"/>
              </w:rPr>
              <w:t>different celebrations and how our families celebrate special times.</w:t>
            </w:r>
          </w:p>
          <w:p w:rsidR="00F30ABF" w:rsidRDefault="007B4AB1" w:rsidP="007B4AB1">
            <w:pPr>
              <w:pStyle w:val="Bullets-Twinkl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F30ABF" w:rsidRPr="00F30ABF">
              <w:rPr>
                <w:rFonts w:asciiTheme="minorHAnsi" w:hAnsiTheme="minorHAnsi" w:cstheme="minorHAnsi"/>
                <w:sz w:val="20"/>
                <w:szCs w:val="20"/>
              </w:rPr>
              <w:t xml:space="preserve"> Other activities will include:</w:t>
            </w:r>
          </w:p>
          <w:p w:rsidR="00F30ABF" w:rsidRDefault="004920BD" w:rsidP="00F30ABF">
            <w:pPr>
              <w:pStyle w:val="Bullets-Twinkl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Talk about Diwali and why it is an important festival</w:t>
            </w:r>
            <w:r w:rsidR="00F30A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0ABF" w:rsidRDefault="004920BD" w:rsidP="00F30ABF">
            <w:pPr>
              <w:pStyle w:val="Bullets-Twinkl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Celebrate what makes us special during anti bullying week</w:t>
            </w:r>
            <w:r w:rsidR="00EA577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920BD" w:rsidRPr="00F30ABF" w:rsidRDefault="004920BD" w:rsidP="00E10923">
            <w:pPr>
              <w:pStyle w:val="Bullets-Twinkl"/>
              <w:numPr>
                <w:ilvl w:val="0"/>
                <w:numId w:val="0"/>
              </w:numPr>
              <w:ind w:left="5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DDFFFA"/>
            <w:tcMar>
              <w:top w:w="113" w:type="dxa"/>
              <w:bottom w:w="57" w:type="dxa"/>
              <w:right w:w="108" w:type="dxa"/>
            </w:tcMar>
          </w:tcPr>
          <w:p w:rsidR="00F30ABF" w:rsidRPr="00F30ABF" w:rsidRDefault="00F30ABF" w:rsidP="00F30ABF">
            <w:pPr>
              <w:pStyle w:val="Bullets-Twinkl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0ABF">
              <w:rPr>
                <w:rFonts w:asciiTheme="minorHAnsi" w:hAnsiTheme="minorHAnsi" w:cstheme="minorHAnsi"/>
                <w:sz w:val="20"/>
                <w:szCs w:val="20"/>
              </w:rPr>
              <w:t xml:space="preserve">    Children will have</w:t>
            </w:r>
            <w:r w:rsidR="001A4FDA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Pr="00F30ABF">
              <w:rPr>
                <w:rFonts w:asciiTheme="minorHAnsi" w:hAnsiTheme="minorHAnsi" w:cstheme="minorHAnsi"/>
                <w:sz w:val="20"/>
                <w:szCs w:val="20"/>
              </w:rPr>
              <w:t xml:space="preserve"> opportunity to develop their creative and imaginative skills using a wide variety of art and craft materials. Other activities will include:</w:t>
            </w:r>
          </w:p>
          <w:p w:rsidR="00F30ABF" w:rsidRPr="00F30ABF" w:rsidRDefault="007B4AB1" w:rsidP="00F30ABF">
            <w:pPr>
              <w:pStyle w:val="Bullets-Twinkl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Painting poppies to remember the soldier</w:t>
            </w:r>
            <w:r w:rsidR="0040079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who fought for us.</w:t>
            </w:r>
          </w:p>
          <w:p w:rsidR="00F30ABF" w:rsidRDefault="007B4AB1" w:rsidP="007B4AB1">
            <w:pPr>
              <w:pStyle w:val="Bullets-Twinkl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Using clay to make our own Diva lamps.</w:t>
            </w:r>
          </w:p>
          <w:p w:rsidR="007B4AB1" w:rsidRDefault="007B4AB1" w:rsidP="007B4AB1">
            <w:pPr>
              <w:pStyle w:val="Bullets-Twinkl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Learning songs to celebrate the first Christmas.</w:t>
            </w:r>
          </w:p>
          <w:p w:rsidR="007B4AB1" w:rsidRPr="00F30ABF" w:rsidRDefault="007B4AB1" w:rsidP="007B4AB1">
            <w:pPr>
              <w:pStyle w:val="Bullets-Twinkl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C4540" w:rsidRPr="00F30ABF" w:rsidRDefault="00CD3D6D" w:rsidP="004920B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9C4540" w:rsidRPr="00F30ABF" w:rsidSect="00F30A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-TTF">
    <w:altName w:val="MS UI Gothic"/>
    <w:charset w:val="00"/>
    <w:family w:val="swiss"/>
    <w:pitch w:val="variable"/>
    <w:sig w:usb0="80000003" w:usb1="00000002" w:usb2="00000000" w:usb3="00000000" w:csb0="00000001" w:csb1="00000000"/>
  </w:font>
  <w:font w:name="Twinkl">
    <w:altName w:val="Times New Roman"/>
    <w:charset w:val="4D"/>
    <w:family w:val="auto"/>
    <w:pitch w:val="variable"/>
    <w:sig w:usb0="00000001" w:usb1="5000205B" w:usb2="00000000" w:usb3="00000000" w:csb0="0000009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2CF"/>
    <w:multiLevelType w:val="hybridMultilevel"/>
    <w:tmpl w:val="5BA063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22734"/>
    <w:multiLevelType w:val="hybridMultilevel"/>
    <w:tmpl w:val="779ACD06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8A12B7"/>
    <w:multiLevelType w:val="hybridMultilevel"/>
    <w:tmpl w:val="A98CEF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1593A"/>
    <w:multiLevelType w:val="hybridMultilevel"/>
    <w:tmpl w:val="A5F064F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F7152"/>
    <w:multiLevelType w:val="hybridMultilevel"/>
    <w:tmpl w:val="F5F44C30"/>
    <w:lvl w:ilvl="0" w:tplc="1D0CA78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C61FB2"/>
    <w:multiLevelType w:val="hybridMultilevel"/>
    <w:tmpl w:val="0A7EE066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C006FCA"/>
    <w:multiLevelType w:val="hybridMultilevel"/>
    <w:tmpl w:val="F190DDE4"/>
    <w:lvl w:ilvl="0" w:tplc="08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45E6004"/>
    <w:multiLevelType w:val="hybridMultilevel"/>
    <w:tmpl w:val="98E2BC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BF"/>
    <w:rsid w:val="001A4FDA"/>
    <w:rsid w:val="0040079A"/>
    <w:rsid w:val="004920BD"/>
    <w:rsid w:val="005036B7"/>
    <w:rsid w:val="007B4AB1"/>
    <w:rsid w:val="009B2584"/>
    <w:rsid w:val="00AB39F6"/>
    <w:rsid w:val="00CD3D6D"/>
    <w:rsid w:val="00DF6B1C"/>
    <w:rsid w:val="00E10923"/>
    <w:rsid w:val="00E53C51"/>
    <w:rsid w:val="00EA577F"/>
    <w:rsid w:val="00F3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B782"/>
  <w15:chartTrackingRefBased/>
  <w15:docId w15:val="{C845DB8B-1E29-4DFC-B192-A9F2DD4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F30ABF"/>
    <w:pPr>
      <w:suppressAutoHyphens/>
      <w:autoSpaceDE w:val="0"/>
      <w:autoSpaceDN w:val="0"/>
      <w:adjustRightInd w:val="0"/>
      <w:spacing w:line="276" w:lineRule="auto"/>
      <w:jc w:val="center"/>
      <w:textAlignment w:val="center"/>
    </w:pPr>
    <w:rPr>
      <w:rFonts w:ascii="Tuffy-TTF" w:eastAsia="Calibri" w:hAnsi="Tuffy-TTF" w:cs="Twinkl"/>
      <w:color w:val="1C1C1C"/>
      <w:sz w:val="40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F30ABF"/>
    <w:pPr>
      <w:numPr>
        <w:numId w:val="1"/>
      </w:numPr>
    </w:pPr>
  </w:style>
  <w:style w:type="paragraph" w:customStyle="1" w:styleId="Bullets-Twinkl">
    <w:name w:val="Bullets - Twinkl"/>
    <w:basedOn w:val="ListParagraph"/>
    <w:link w:val="Bullets-TwinklChar"/>
    <w:qFormat/>
    <w:rsid w:val="00F30ABF"/>
    <w:pPr>
      <w:spacing w:after="60" w:line="180" w:lineRule="atLeast"/>
      <w:ind w:left="170" w:hanging="170"/>
      <w:jc w:val="left"/>
    </w:pPr>
    <w:rPr>
      <w:rFonts w:ascii="Roboto" w:hAnsi="Roboto"/>
      <w:bCs/>
      <w:sz w:val="18"/>
    </w:rPr>
  </w:style>
  <w:style w:type="character" w:customStyle="1" w:styleId="Bullets-TwinklChar">
    <w:name w:val="Bullets - Twinkl Char"/>
    <w:link w:val="Bullets-Twinkl"/>
    <w:rsid w:val="00F30ABF"/>
    <w:rPr>
      <w:rFonts w:ascii="Roboto" w:eastAsia="Calibri" w:hAnsi="Roboto" w:cs="Twinkl"/>
      <w:bCs/>
      <w:color w:val="1C1C1C"/>
      <w:sz w:val="18"/>
      <w:szCs w:val="26"/>
      <w:lang w:eastAsia="en-GB"/>
    </w:rPr>
  </w:style>
  <w:style w:type="table" w:styleId="GridTable4-Accent1">
    <w:name w:val="Grid Table 4 Accent 1"/>
    <w:basedOn w:val="TableNormal"/>
    <w:uiPriority w:val="49"/>
    <w:rsid w:val="00F30ABF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Brough</dc:creator>
  <cp:keywords/>
  <dc:description/>
  <cp:lastModifiedBy>Holly Brough</cp:lastModifiedBy>
  <cp:revision>3</cp:revision>
  <dcterms:created xsi:type="dcterms:W3CDTF">2023-11-07T08:37:00Z</dcterms:created>
  <dcterms:modified xsi:type="dcterms:W3CDTF">2023-12-13T12:11:00Z</dcterms:modified>
</cp:coreProperties>
</file>